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Pr="007C7E5C" w:rsidRDefault="002301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7C7E5C">
        <w:rPr>
          <w:rFonts w:ascii="Bookman Old Style" w:hAnsi="Bookman Old Style"/>
          <w:b/>
          <w:bCs/>
          <w:sz w:val="100"/>
          <w:szCs w:val="100"/>
        </w:rPr>
        <w:t>1957</w:t>
      </w: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6289" w:rsidRDefault="0027628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1B2B20" w:rsidRDefault="001B2B2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1B2B20" w:rsidRDefault="001B2B2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1B2B20" w:rsidRDefault="001B2B2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276289" w:rsidRDefault="00230169" w:rsidP="00230169">
      <w:pPr>
        <w:pStyle w:val="Modulovuoto"/>
        <w:spacing w:line="360" w:lineRule="auto"/>
        <w:ind w:right="314"/>
        <w:jc w:val="both"/>
        <w:rPr>
          <w:rStyle w:val="None"/>
          <w:rFonts w:ascii="bookman old srtyle" w:hAnsi="bookman old srtyle"/>
          <w:b/>
          <w:sz w:val="32"/>
          <w:lang w:val="es-ES_tradnl"/>
        </w:rPr>
      </w:pP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 xml:space="preserve">Arnauld 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«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Enciclopedia filosofica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»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Firenze-Venezia, Istituto per la collaborazione culturale, 1957, v. I, pp. 379-381;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Boullier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p. 779;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Cally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p. 853-854;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es-ES_tradnl"/>
        </w:rPr>
        <w:t>Cartesianismo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917-918;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Castelli-Gattinara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931-932;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fr-FR"/>
        </w:rPr>
        <w:t>Cordemoy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p. 1241;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fr-FR"/>
        </w:rPr>
        <w:t>De La Forge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1446-1447;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Della Volpe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p. 1453;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Descartes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1489-1513;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Gassendi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v. II, pp. 590-596;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fr-FR"/>
        </w:rPr>
        <w:t>Geulincx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693-699;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Gouhier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871-872;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nl-NL"/>
        </w:rPr>
        <w:t>Huizinga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1123-1124;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Marain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v. III, pp. 256-257;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Marx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345-350;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Mazzantini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449-450;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Mersenne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523-525;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Occasion</w:t>
      </w:r>
      <w:r w:rsidR="003235D6"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alismo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974-980;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Occasione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p. 980;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es-ES_tradnl"/>
        </w:rPr>
        <w:t>Ontologismo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, ivi, pp. 1041-1049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Pascal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1181-1194;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fr-FR"/>
        </w:rPr>
        <w:t>Renouvier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v. IV, pp. 70-73;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Secrétain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ivi, pp. 493-494; 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Visione Beatifica</w:t>
      </w:r>
      <w:r w:rsidRPr="00276289">
        <w:rPr>
          <w:rStyle w:val="None"/>
          <w:rFonts w:ascii="bookman old srtyle" w:hAnsi="bookman old srtyle"/>
          <w:b/>
          <w:sz w:val="32"/>
          <w:lang w:val="es-ES_tradnl"/>
        </w:rPr>
        <w:t>, [con M. COLPO], ivi, pp.  1623-1624.</w:t>
      </w:r>
    </w:p>
    <w:p w:rsidR="00276289" w:rsidRDefault="00276289" w:rsidP="00230169">
      <w:pPr>
        <w:pStyle w:val="Modulovuoto"/>
        <w:spacing w:line="360" w:lineRule="auto"/>
        <w:ind w:right="314"/>
        <w:jc w:val="both"/>
        <w:rPr>
          <w:rStyle w:val="None"/>
          <w:rFonts w:ascii="bookman old srtyle" w:hAnsi="bookman old srtyle"/>
          <w:b/>
          <w:sz w:val="32"/>
          <w:lang w:val="es-ES_tradnl"/>
        </w:rPr>
      </w:pPr>
    </w:p>
    <w:p w:rsidR="00276289" w:rsidRPr="000D0833" w:rsidRDefault="00276289" w:rsidP="00276289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1B2B20" w:rsidRPr="00276289" w:rsidRDefault="001B2B20" w:rsidP="00230169">
      <w:pPr>
        <w:pStyle w:val="Modulovuoto"/>
        <w:spacing w:line="360" w:lineRule="auto"/>
        <w:ind w:right="314"/>
        <w:jc w:val="both"/>
        <w:rPr>
          <w:rStyle w:val="None"/>
          <w:sz w:val="32"/>
        </w:rPr>
      </w:pPr>
    </w:p>
    <w:p w:rsidR="001B2B20" w:rsidRPr="00276289" w:rsidRDefault="001B2B20" w:rsidP="00230169">
      <w:pPr>
        <w:pStyle w:val="Modulovuoto"/>
        <w:spacing w:line="360" w:lineRule="auto"/>
        <w:ind w:right="314"/>
        <w:jc w:val="both"/>
        <w:rPr>
          <w:rStyle w:val="None"/>
          <w:sz w:val="32"/>
        </w:rPr>
      </w:pPr>
    </w:p>
    <w:p w:rsidR="00276289" w:rsidRDefault="0023016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Filosofia e politica nel comunismo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«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Quaderni di azione sociale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»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, n. 1, 1957, pp. 12-45.</w:t>
      </w:r>
    </w:p>
    <w:p w:rsidR="00276289" w:rsidRDefault="0027628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</w:p>
    <w:p w:rsidR="00276289" w:rsidRPr="000D0833" w:rsidRDefault="00276289" w:rsidP="00276289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230169" w:rsidRPr="00276289" w:rsidRDefault="0023016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b/>
          <w:sz w:val="32"/>
        </w:rPr>
      </w:pPr>
    </w:p>
    <w:p w:rsidR="00230169" w:rsidRPr="00276289" w:rsidRDefault="00230169" w:rsidP="00230169">
      <w:pPr>
        <w:pStyle w:val="Modulovuoto"/>
        <w:spacing w:line="360" w:lineRule="auto"/>
        <w:ind w:right="314"/>
        <w:jc w:val="both"/>
        <w:rPr>
          <w:rStyle w:val="None"/>
          <w:b/>
          <w:sz w:val="32"/>
        </w:rPr>
      </w:pPr>
    </w:p>
    <w:p w:rsidR="00276289" w:rsidRDefault="00230169" w:rsidP="00230169">
      <w:pPr>
        <w:pStyle w:val="Modulovuoto"/>
        <w:spacing w:line="360" w:lineRule="auto"/>
        <w:ind w:right="314"/>
        <w:jc w:val="both"/>
        <w:rPr>
          <w:rFonts w:ascii="bookman old srtyle" w:hAnsi="bookman old srtyle"/>
          <w:b/>
          <w:sz w:val="32"/>
          <w:lang w:val="it-IT"/>
        </w:rPr>
      </w:pP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lastRenderedPageBreak/>
        <w:t>Totalitarismo e filosofia della storia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«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Il Mulino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»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, VI, n. 64, 1957, pp. 91-98.</w:t>
      </w:r>
      <w:r w:rsidR="005B6285">
        <w:rPr>
          <w:rStyle w:val="None"/>
          <w:rFonts w:ascii="bookman old srtyle" w:hAnsi="bookman old srtyle"/>
          <w:b/>
          <w:sz w:val="32"/>
          <w:lang w:val="it-IT"/>
        </w:rPr>
        <w:t xml:space="preserve"> </w:t>
      </w:r>
      <w:r w:rsidRPr="00276289">
        <w:rPr>
          <w:rFonts w:ascii="bookman old srtyle" w:hAnsi="bookman old srtyle"/>
          <w:b/>
          <w:sz w:val="32"/>
          <w:lang w:val="it-IT"/>
        </w:rPr>
        <w:t>[riprodotto nel n. 771].</w:t>
      </w:r>
    </w:p>
    <w:p w:rsidR="00276289" w:rsidRDefault="00276289" w:rsidP="00230169">
      <w:pPr>
        <w:pStyle w:val="Modulovuoto"/>
        <w:spacing w:line="360" w:lineRule="auto"/>
        <w:ind w:right="314"/>
        <w:jc w:val="both"/>
        <w:rPr>
          <w:rFonts w:ascii="bookman old srtyle" w:hAnsi="bookman old srtyle"/>
          <w:b/>
          <w:sz w:val="32"/>
          <w:lang w:val="it-IT"/>
        </w:rPr>
      </w:pPr>
    </w:p>
    <w:p w:rsidR="00276289" w:rsidRPr="000D0833" w:rsidRDefault="00276289" w:rsidP="00276289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1B2B20" w:rsidRPr="00276289" w:rsidRDefault="001B2B20" w:rsidP="00230169">
      <w:pPr>
        <w:pStyle w:val="Modulovuoto"/>
        <w:spacing w:line="360" w:lineRule="auto"/>
        <w:ind w:right="314"/>
        <w:jc w:val="both"/>
        <w:rPr>
          <w:rFonts w:ascii="bookman old srtyle" w:eastAsia="Arial Narrow" w:hAnsi="bookman old srtyle" w:cs="Arial Narrow"/>
          <w:b/>
          <w:sz w:val="32"/>
          <w:lang w:val="it-IT"/>
        </w:rPr>
      </w:pPr>
    </w:p>
    <w:p w:rsidR="001B2B20" w:rsidRPr="00276289" w:rsidRDefault="001B2B20" w:rsidP="0023016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Style w:val="None"/>
          <w:rFonts w:ascii="Helvetica" w:eastAsia="Arial Unicode MS" w:hAnsi="Helvetica" w:cs="Arial Unicode MS"/>
          <w:b/>
          <w:sz w:val="32"/>
        </w:rPr>
      </w:pPr>
    </w:p>
    <w:p w:rsidR="00276289" w:rsidRDefault="0023016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Fine o crisi del degasperismo?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«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Il Mulino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»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, VI, n. 69-70, 1957, pp. 479-485.</w:t>
      </w:r>
    </w:p>
    <w:p w:rsidR="00276289" w:rsidRPr="000D0833" w:rsidRDefault="00276289" w:rsidP="00276289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276289" w:rsidRDefault="0027628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</w:p>
    <w:p w:rsidR="001B2B20" w:rsidRPr="00276289" w:rsidRDefault="001B2B20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Arial Narrow" w:eastAsia="Arial Narrow" w:hAnsi="Arial Narrow" w:cs="Arial Narrow"/>
          <w:b/>
          <w:sz w:val="32"/>
        </w:rPr>
      </w:pPr>
    </w:p>
    <w:p w:rsidR="001B2B20" w:rsidRPr="00276289" w:rsidRDefault="001B2B20" w:rsidP="00230169">
      <w:pPr>
        <w:pStyle w:val="Modulovuoto"/>
        <w:spacing w:line="360" w:lineRule="auto"/>
        <w:ind w:right="314"/>
        <w:jc w:val="both"/>
        <w:rPr>
          <w:rStyle w:val="None"/>
          <w:b/>
          <w:sz w:val="32"/>
        </w:rPr>
      </w:pPr>
    </w:p>
    <w:p w:rsidR="00276289" w:rsidRDefault="0023016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L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fr-FR"/>
        </w:rPr>
        <w:t>’</w:t>
      </w: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illuminista dagli occhi chiusi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«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Il Nostro tempo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»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, XII, n. 16, 18 aprile 1957.</w:t>
      </w:r>
    </w:p>
    <w:p w:rsidR="00276289" w:rsidRDefault="0027628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</w:p>
    <w:p w:rsidR="00276289" w:rsidRPr="000D0833" w:rsidRDefault="00276289" w:rsidP="00276289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1B2B20" w:rsidRPr="00276289" w:rsidRDefault="001B2B20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b/>
          <w:sz w:val="32"/>
        </w:rPr>
      </w:pPr>
    </w:p>
    <w:p w:rsidR="001B2B20" w:rsidRPr="00276289" w:rsidRDefault="001B2B20" w:rsidP="00230169">
      <w:pPr>
        <w:pStyle w:val="Modulovuoto"/>
        <w:spacing w:line="360" w:lineRule="auto"/>
        <w:ind w:right="314"/>
        <w:jc w:val="both"/>
        <w:rPr>
          <w:rStyle w:val="None"/>
          <w:b/>
          <w:sz w:val="32"/>
        </w:rPr>
      </w:pPr>
    </w:p>
    <w:p w:rsidR="00276289" w:rsidRDefault="0023016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La crisi del Degasperismo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«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Il Nostro tempo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»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, XII, n. 24, 13 giugno 1957.</w:t>
      </w:r>
    </w:p>
    <w:p w:rsidR="00276289" w:rsidRDefault="00276289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rFonts w:ascii="bookman old srtyle" w:hAnsi="bookman old srtyle"/>
          <w:b/>
          <w:sz w:val="32"/>
          <w:lang w:val="it-IT"/>
        </w:rPr>
      </w:pPr>
    </w:p>
    <w:p w:rsidR="00276289" w:rsidRPr="000D0833" w:rsidRDefault="00276289" w:rsidP="00276289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1B2B20" w:rsidRPr="00276289" w:rsidRDefault="001B2B20" w:rsidP="00276289">
      <w:pPr>
        <w:pStyle w:val="Modulovuoto"/>
        <w:spacing w:line="360" w:lineRule="auto"/>
        <w:ind w:right="314"/>
        <w:jc w:val="both"/>
        <w:outlineLvl w:val="0"/>
        <w:rPr>
          <w:rStyle w:val="None"/>
          <w:b/>
          <w:sz w:val="32"/>
        </w:rPr>
      </w:pPr>
    </w:p>
    <w:p w:rsidR="001B2B20" w:rsidRPr="00276289" w:rsidRDefault="001B2B20" w:rsidP="00230169">
      <w:pPr>
        <w:pStyle w:val="Modulovuoto"/>
        <w:spacing w:line="360" w:lineRule="auto"/>
        <w:ind w:right="314"/>
        <w:jc w:val="both"/>
        <w:rPr>
          <w:rStyle w:val="None"/>
          <w:b/>
          <w:sz w:val="32"/>
        </w:rPr>
      </w:pPr>
    </w:p>
    <w:p w:rsidR="001B2B20" w:rsidRPr="007C7E5C" w:rsidRDefault="00230169" w:rsidP="007C7E5C">
      <w:pPr>
        <w:pStyle w:val="Modulovuoto"/>
        <w:spacing w:line="360" w:lineRule="auto"/>
        <w:ind w:right="314"/>
        <w:jc w:val="both"/>
        <w:outlineLvl w:val="0"/>
        <w:rPr>
          <w:rFonts w:ascii="bookman old srtyle" w:hAnsi="bookman old srtyle"/>
          <w:b/>
          <w:sz w:val="32"/>
          <w:lang w:val="it-IT"/>
        </w:rPr>
      </w:pPr>
      <w:r w:rsidRPr="00276289">
        <w:rPr>
          <w:rStyle w:val="None"/>
          <w:rFonts w:ascii="bookman old srtyle" w:hAnsi="bookman old srtyle"/>
          <w:b/>
          <w:i/>
          <w:iCs/>
          <w:sz w:val="32"/>
          <w:lang w:val="it-IT"/>
        </w:rPr>
        <w:t>La nuova classe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 xml:space="preserve">, 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«</w:t>
      </w:r>
      <w:r w:rsidRPr="00276289">
        <w:rPr>
          <w:rStyle w:val="None"/>
          <w:rFonts w:ascii="bookman old srtyle" w:hAnsi="bookman old srtyle"/>
          <w:b/>
          <w:sz w:val="32"/>
          <w:lang w:val="it-IT"/>
        </w:rPr>
        <w:t>Il Nostro tempo</w:t>
      </w:r>
      <w:r w:rsidRPr="00276289">
        <w:rPr>
          <w:rStyle w:val="None"/>
          <w:rFonts w:ascii="bookman old srtyle" w:hAnsi="bookman old srtyle"/>
          <w:b/>
          <w:sz w:val="32"/>
          <w:lang w:val="fr-FR"/>
        </w:rPr>
        <w:t>», XII, n. 45, 14 novembre 1957.</w:t>
      </w:r>
      <w:bookmarkStart w:id="0" w:name="_GoBack"/>
      <w:bookmarkEnd w:id="0"/>
      <w:r w:rsidRPr="00276289">
        <w:rPr>
          <w:rFonts w:ascii="bookman old srtyle" w:hAnsi="bookman old srtyle"/>
          <w:b/>
          <w:sz w:val="32"/>
        </w:rPr>
        <w:tab/>
      </w:r>
    </w:p>
    <w:sectPr w:rsidR="001B2B20" w:rsidRPr="007C7E5C" w:rsidSect="001B2B20"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A4" w:rsidRDefault="00F73FA4">
      <w:pPr>
        <w:spacing w:line="240" w:lineRule="auto"/>
      </w:pPr>
      <w:r>
        <w:separator/>
      </w:r>
    </w:p>
  </w:endnote>
  <w:endnote w:type="continuationSeparator" w:id="0">
    <w:p w:rsidR="00F73FA4" w:rsidRDefault="00F73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rtyle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C명조">
    <w:altName w:val="Arial Unicode MS"/>
    <w:charset w:val="4F"/>
    <w:family w:val="auto"/>
    <w:pitch w:val="variable"/>
    <w:sig w:usb0="00000000" w:usb1="00000000" w:usb2="01002406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A4" w:rsidRDefault="00F73FA4">
      <w:pPr>
        <w:spacing w:line="240" w:lineRule="auto"/>
      </w:pPr>
      <w:r>
        <w:separator/>
      </w:r>
    </w:p>
  </w:footnote>
  <w:footnote w:type="continuationSeparator" w:id="0">
    <w:p w:rsidR="00F73FA4" w:rsidRDefault="00F73F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B20"/>
    <w:rsid w:val="001B2B20"/>
    <w:rsid w:val="00230169"/>
    <w:rsid w:val="00276289"/>
    <w:rsid w:val="002E1116"/>
    <w:rsid w:val="002F6526"/>
    <w:rsid w:val="003235D6"/>
    <w:rsid w:val="005B6285"/>
    <w:rsid w:val="007C7E5C"/>
    <w:rsid w:val="00845F87"/>
    <w:rsid w:val="00F73F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7696C-184B-4EFF-808A-C119F822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B2B20"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2B20"/>
    <w:rPr>
      <w:u w:val="single"/>
    </w:rPr>
  </w:style>
  <w:style w:type="table" w:customStyle="1" w:styleId="TableNormal">
    <w:name w:val="Table Normal"/>
    <w:rsid w:val="001B2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B2B20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1B2B20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1B2B20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None">
    <w:name w:val="None"/>
    <w:rsid w:val="001B2B20"/>
    <w:rPr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76289"/>
    <w:pPr>
      <w:spacing w:line="240" w:lineRule="auto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76289"/>
    <w:rPr>
      <w:rFonts w:ascii="Lucida Grande" w:eastAsia="Arial Narrow" w:hAnsi="Lucida Grande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8</cp:revision>
  <dcterms:created xsi:type="dcterms:W3CDTF">2021-09-05T13:35:00Z</dcterms:created>
  <dcterms:modified xsi:type="dcterms:W3CDTF">2021-11-25T13:57:00Z</dcterms:modified>
</cp:coreProperties>
</file>