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2007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Modernit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  <w:lang w:val="it-IT"/>
        </w:rPr>
        <w:t>, introduzione di G. RICONDA, Morcelliana, Brescia 2007.</w:t>
      </w:r>
      <w:r>
        <w:rPr>
          <w:rFonts w:ascii="Arial Narrow" w:hAnsi="Arial Narrow"/>
          <w:rtl w:val="0"/>
        </w:rPr>
        <w:t xml:space="preserve"> 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</w:pPr>
      <w:r>
        <w:rPr>
          <w:rFonts w:ascii="Arial Narrow" w:hAnsi="Arial Narrow"/>
          <w:i w:val="1"/>
          <w:iCs w:val="1"/>
          <w:rtl w:val="0"/>
          <w:lang w:val="de-DE"/>
        </w:rPr>
        <w:t>Verit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Fonts w:ascii="Arial Narrow" w:hAnsi="Arial Narrow"/>
          <w:i w:val="1"/>
          <w:iCs w:val="1"/>
          <w:rtl w:val="0"/>
          <w:lang w:val="it-IT"/>
        </w:rPr>
        <w:t>e ragione nella storia. Antologia di scritti</w:t>
      </w:r>
      <w:r>
        <w:rPr>
          <w:rFonts w:ascii="Arial Narrow" w:hAnsi="Arial Narrow"/>
          <w:rtl w:val="0"/>
          <w:lang w:val="it-IT"/>
        </w:rPr>
        <w:t xml:space="preserve">, a cura di A. Mina, Introduzione di G. Riconda, Milano, Rizzoli BUR, 2007. 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